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8C" w:rsidRDefault="00A9198C" w:rsidP="00C65CE9">
      <w:pPr>
        <w:spacing w:before="300" w:after="150" w:line="240" w:lineRule="auto"/>
        <w:jc w:val="center"/>
        <w:outlineLvl w:val="0"/>
        <w:rPr>
          <w:rFonts w:eastAsia="Times New Roman" w:cs="Times New Roman"/>
          <w:b/>
          <w:bCs/>
          <w:color w:val="004D7B"/>
          <w:kern w:val="36"/>
          <w:sz w:val="72"/>
          <w:szCs w:val="72"/>
          <w:lang w:eastAsia="ru-RU"/>
        </w:rPr>
      </w:pPr>
    </w:p>
    <w:p w:rsidR="00FF7297" w:rsidRPr="00C65CE9" w:rsidRDefault="004C67E7" w:rsidP="00C65CE9">
      <w:pPr>
        <w:spacing w:before="300" w:after="150" w:line="240" w:lineRule="auto"/>
        <w:jc w:val="center"/>
        <w:outlineLvl w:val="0"/>
        <w:rPr>
          <w:rFonts w:eastAsia="Times New Roman" w:cs="Times New Roman"/>
          <w:b/>
          <w:bCs/>
          <w:color w:val="004D7B"/>
          <w:kern w:val="36"/>
          <w:sz w:val="72"/>
          <w:szCs w:val="72"/>
          <w:lang w:eastAsia="ru-RU"/>
        </w:rPr>
      </w:pPr>
      <w:r>
        <w:rPr>
          <w:rFonts w:eastAsia="Times New Roman" w:cs="Times New Roman"/>
          <w:b/>
          <w:bCs/>
          <w:color w:val="004D7B"/>
          <w:kern w:val="36"/>
          <w:sz w:val="72"/>
          <w:szCs w:val="72"/>
          <w:lang w:eastAsia="ru-RU"/>
        </w:rPr>
        <w:t>Уважаемые жители Белогорского района</w:t>
      </w:r>
      <w:r w:rsidR="00C65CE9" w:rsidRPr="00C65CE9">
        <w:rPr>
          <w:rFonts w:eastAsia="Times New Roman" w:cs="Times New Roman"/>
          <w:b/>
          <w:bCs/>
          <w:color w:val="004D7B"/>
          <w:kern w:val="36"/>
          <w:sz w:val="72"/>
          <w:szCs w:val="72"/>
          <w:lang w:eastAsia="ru-RU"/>
        </w:rPr>
        <w:t xml:space="preserve"> !!!</w:t>
      </w:r>
    </w:p>
    <w:p w:rsidR="00C65CE9" w:rsidRDefault="00C65CE9" w:rsidP="00A9198C">
      <w:pPr>
        <w:spacing w:before="300" w:after="150" w:line="240" w:lineRule="auto"/>
        <w:jc w:val="center"/>
        <w:outlineLvl w:val="0"/>
        <w:rPr>
          <w:rFonts w:eastAsia="Times New Roman" w:cs="Times New Roman"/>
          <w:b/>
          <w:bCs/>
          <w:color w:val="004D7B"/>
          <w:kern w:val="36"/>
          <w:sz w:val="51"/>
          <w:szCs w:val="51"/>
          <w:lang w:eastAsia="ru-RU"/>
        </w:rPr>
      </w:pPr>
      <w:r>
        <w:rPr>
          <w:rFonts w:eastAsia="Times New Roman" w:cs="Times New Roman"/>
          <w:b/>
          <w:bCs/>
          <w:color w:val="004D7B"/>
          <w:kern w:val="36"/>
          <w:sz w:val="51"/>
          <w:szCs w:val="51"/>
          <w:lang w:eastAsia="ru-RU"/>
        </w:rPr>
        <w:t>Приглашаем Вас пройти бесплатно обследование,                             в рамках ДИСПАНСЕРИЗАЦИИ взрослого населения</w:t>
      </w:r>
    </w:p>
    <w:p w:rsidR="00A9198C" w:rsidRDefault="00A9198C" w:rsidP="00A9198C">
      <w:pPr>
        <w:spacing w:before="300" w:after="150" w:line="240" w:lineRule="auto"/>
        <w:jc w:val="center"/>
        <w:outlineLvl w:val="0"/>
        <w:rPr>
          <w:rFonts w:eastAsia="Times New Roman" w:cs="Times New Roman"/>
          <w:b/>
          <w:bCs/>
          <w:color w:val="004D7B"/>
          <w:kern w:val="36"/>
          <w:sz w:val="51"/>
          <w:szCs w:val="51"/>
          <w:lang w:eastAsia="ru-RU"/>
        </w:rPr>
      </w:pPr>
    </w:p>
    <w:p w:rsidR="007E3768" w:rsidRPr="007E3768" w:rsidRDefault="007E3768" w:rsidP="00FF7297">
      <w:pPr>
        <w:spacing w:before="300" w:after="15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004D7B"/>
          <w:kern w:val="36"/>
          <w:sz w:val="51"/>
          <w:szCs w:val="51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color w:val="004D7B"/>
          <w:kern w:val="36"/>
          <w:sz w:val="51"/>
          <w:szCs w:val="51"/>
          <w:lang w:eastAsia="ru-RU"/>
        </w:rPr>
        <w:t>Изменения в правилах диспансеризации 2019</w:t>
      </w:r>
    </w:p>
    <w:p w:rsidR="007E3768" w:rsidRPr="007E3768" w:rsidRDefault="007E3768" w:rsidP="00FF7297">
      <w:pPr>
        <w:spacing w:line="240" w:lineRule="auto"/>
        <w:jc w:val="center"/>
        <w:rPr>
          <w:rFonts w:ascii="&amp;quot" w:eastAsia="Times New Roman" w:hAnsi="&amp;quot" w:cs="Times New Roman"/>
          <w:color w:val="000000"/>
          <w:sz w:val="44"/>
          <w:szCs w:val="44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44"/>
          <w:szCs w:val="44"/>
          <w:lang w:eastAsia="ru-RU"/>
        </w:rPr>
        <w:t>В России вступил в силу приказ Минздрава РФ, согласно которому люди старше 40 лет смогут проходить диспансеризацию 1 раз в год, в то время как для жителей страны возрастом 18–39 лет сохраняется возможность проходить осмотр раз в 3 года.</w:t>
      </w:r>
    </w:p>
    <w:p w:rsidR="007E3768" w:rsidRPr="007E3768" w:rsidRDefault="007E3768" w:rsidP="007E3768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E3768">
        <w:rPr>
          <w:rFonts w:ascii="&amp;quot" w:eastAsia="Times New Roman" w:hAnsi="&amp;quot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52200C3" wp14:editId="3E0EFA47">
            <wp:extent cx="9144000" cy="4730750"/>
            <wp:effectExtent l="0" t="0" r="0" b="0"/>
            <wp:docPr id="3" name="Рисунок 3" descr="http://gkb11.medgis.ru/uploads/27/f3/43/12/27f343123379db93cf86922a8738d76f3fe0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kb11.medgis.ru/uploads/27/f3/43/12/27f343123379db93cf86922a8738d76f3fe002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68" w:rsidRPr="007E3768" w:rsidRDefault="007E3768" w:rsidP="007E3768">
      <w:pPr>
        <w:spacing w:before="300" w:after="30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sz w:val="30"/>
          <w:szCs w:val="30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sz w:val="30"/>
          <w:szCs w:val="30"/>
          <w:lang w:eastAsia="ru-RU"/>
        </w:rPr>
        <w:t>Диспансеризация стала ежегодной для всех, кому за 40 (новый приказ Минздрава России)</w:t>
      </w:r>
    </w:p>
    <w:p w:rsidR="007E3768" w:rsidRPr="007E3768" w:rsidRDefault="007E3768" w:rsidP="007E3768">
      <w:pPr>
        <w:spacing w:before="300" w:after="30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 2019 году бесплатная диспансеризация взрослого населения по полису ОМС пройдёт в соответствии </w:t>
      </w:r>
      <w:r w:rsidR="00A919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 </w:t>
      </w:r>
      <w:hyperlink r:id="rId7" w:tgtFrame="_blank" w:history="1">
        <w:r w:rsidRPr="007E3768">
          <w:rPr>
            <w:rFonts w:ascii="&amp;quot" w:eastAsia="Times New Roman" w:hAnsi="&amp;quot" w:cs="Times New Roman"/>
            <w:b/>
            <w:bCs/>
            <w:color w:val="004D7B"/>
            <w:sz w:val="28"/>
            <w:szCs w:val="28"/>
            <w:lang w:eastAsia="ru-RU"/>
          </w:rPr>
          <w:t>Приказом Минздрава РФ «Об утверждении порядка проведения профилактического медосмотра и диспансеризации определённых групп взрослого населения» от 13.03.2019 N°124н</w:t>
        </w:r>
      </w:hyperlink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:rsidR="007E3768" w:rsidRDefault="00A9198C" w:rsidP="007E3768">
      <w:pPr>
        <w:spacing w:before="300" w:after="30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Для прохождения</w:t>
      </w:r>
      <w:r w:rsidR="007E3768"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диспансеризации пациенту необходимо обратиться к участковому врачу в часы </w:t>
      </w:r>
      <w:r w:rsidR="00FF729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его приёма, либо в </w:t>
      </w:r>
      <w:r w:rsidR="00FF72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F729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кабинет медицинской профилактики № </w:t>
      </w:r>
      <w:r w:rsidR="00FF7297" w:rsidRPr="0050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="005072E0" w:rsidRPr="0050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Белогорской поликлиники</w:t>
      </w:r>
      <w:r w:rsidR="005072E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либо в регистратуру</w:t>
      </w:r>
      <w:r w:rsidR="00FF729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Зуйской поликлиник</w:t>
      </w:r>
      <w:r w:rsidR="005072E0" w:rsidRPr="0050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3768"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:rsidR="008E44F2" w:rsidRPr="007E3768" w:rsidRDefault="008E44F2" w:rsidP="007E37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 xml:space="preserve">     </w:t>
      </w:r>
      <w:r w:rsidRPr="008E44F2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Кабинет медицинской профилактики № 112</w:t>
      </w:r>
    </w:p>
    <w:p w:rsidR="007E3768" w:rsidRPr="007E3768" w:rsidRDefault="007E3768" w:rsidP="00A9198C">
      <w:pPr>
        <w:numPr>
          <w:ilvl w:val="0"/>
          <w:numId w:val="1"/>
        </w:numPr>
        <w:spacing w:before="150" w:after="150" w:line="240" w:lineRule="auto"/>
        <w:ind w:left="6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E37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 08</w:t>
      </w:r>
      <w:r w:rsidRPr="007E37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ru-RU"/>
        </w:rPr>
        <w:t>00</w:t>
      </w:r>
      <w:r w:rsidR="00FF7297" w:rsidRPr="00A91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до 18</w:t>
      </w:r>
      <w:r w:rsidRPr="007E37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ru-RU"/>
        </w:rPr>
        <w:t>00</w:t>
      </w:r>
      <w:r w:rsidR="00FF7297" w:rsidRPr="00A91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  </w:t>
      </w:r>
      <w:r w:rsidR="000D1CBD" w:rsidRPr="00A91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понедельник - пятница</w:t>
      </w:r>
      <w:r w:rsidRPr="007E37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;</w:t>
      </w:r>
    </w:p>
    <w:p w:rsidR="007E3768" w:rsidRPr="00A9198C" w:rsidRDefault="007E3768" w:rsidP="00A9198C">
      <w:pPr>
        <w:numPr>
          <w:ilvl w:val="0"/>
          <w:numId w:val="1"/>
        </w:numPr>
        <w:spacing w:before="150" w:after="150" w:line="240" w:lineRule="auto"/>
        <w:ind w:left="6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E37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8</w:t>
      </w:r>
      <w:r w:rsidRPr="007E37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ru-RU"/>
        </w:rPr>
        <w:t>00</w:t>
      </w:r>
      <w:r w:rsidR="000D1CBD" w:rsidRPr="00A91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до 13</w:t>
      </w:r>
      <w:r w:rsidRPr="007E37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ru-RU"/>
        </w:rPr>
        <w:t>00</w:t>
      </w:r>
      <w:r w:rsidR="000D1CBD" w:rsidRPr="00A91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 w:rsidR="00A91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суббота</w:t>
      </w:r>
      <w:r w:rsidR="000D1CBD" w:rsidRPr="00A91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;</w:t>
      </w:r>
    </w:p>
    <w:p w:rsidR="000D1CBD" w:rsidRDefault="000D1CBD" w:rsidP="00A9198C">
      <w:pPr>
        <w:numPr>
          <w:ilvl w:val="0"/>
          <w:numId w:val="1"/>
        </w:numPr>
        <w:spacing w:before="150" w:after="15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91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12</w:t>
      </w:r>
      <w:r w:rsidRPr="00A9198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.00 до 12.30 обеденный перерыв</w:t>
      </w:r>
      <w:r w:rsidR="00A9198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A9198C" w:rsidRDefault="00A9198C" w:rsidP="00A9198C">
      <w:pPr>
        <w:spacing w:before="150" w:after="15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E44F2" w:rsidRPr="008E44F2" w:rsidRDefault="00A9198C" w:rsidP="00A9198C">
      <w:pPr>
        <w:spacing w:before="150" w:after="15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8E44F2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Мобильная бригада</w:t>
      </w:r>
    </w:p>
    <w:p w:rsidR="00A9198C" w:rsidRPr="008E44F2" w:rsidRDefault="00A9198C" w:rsidP="008E44F2">
      <w:pPr>
        <w:pStyle w:val="a3"/>
        <w:numPr>
          <w:ilvl w:val="0"/>
          <w:numId w:val="6"/>
        </w:numPr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E44F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выезжает в амбулатории и ФАПы района                                  </w:t>
      </w:r>
      <w:r w:rsidR="008E44F2" w:rsidRPr="008E44F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</w:t>
      </w:r>
      <w:r w:rsidRPr="008E44F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 08</w:t>
      </w: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ru-RU"/>
        </w:rPr>
        <w:t>30</w:t>
      </w: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до 13</w:t>
      </w: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ru-RU"/>
        </w:rPr>
        <w:t>00</w:t>
      </w: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понедельник – пятница согласно графика утвержда</w:t>
      </w:r>
      <w:r w:rsidR="008E44F2"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емого ежемесячно главным врачом;</w:t>
      </w:r>
    </w:p>
    <w:p w:rsidR="008E44F2" w:rsidRPr="008E44F2" w:rsidRDefault="008E44F2" w:rsidP="008E44F2">
      <w:pPr>
        <w:pStyle w:val="a3"/>
        <w:numPr>
          <w:ilvl w:val="0"/>
          <w:numId w:val="6"/>
        </w:numPr>
        <w:spacing w:before="150" w:after="150" w:line="240" w:lineRule="auto"/>
        <w:ind w:left="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8</w:t>
      </w: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ru-RU"/>
        </w:rPr>
        <w:t>00</w:t>
      </w: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до 13</w:t>
      </w: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ru-RU"/>
        </w:rPr>
        <w:t>00</w:t>
      </w:r>
      <w:r w:rsidRPr="008E44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суббота работа с документацией.</w:t>
      </w:r>
    </w:p>
    <w:p w:rsidR="007E3768" w:rsidRDefault="007E3768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sz w:val="28"/>
          <w:szCs w:val="28"/>
          <w:lang w:eastAsia="ru-RU"/>
        </w:rPr>
        <w:t> </w:t>
      </w:r>
    </w:p>
    <w:p w:rsidR="006D3EFF" w:rsidRPr="007E3768" w:rsidRDefault="006D3EFF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sz w:val="28"/>
          <w:szCs w:val="28"/>
          <w:lang w:eastAsia="ru-RU"/>
        </w:rPr>
      </w:pPr>
    </w:p>
    <w:p w:rsidR="007E3768" w:rsidRPr="007E3768" w:rsidRDefault="007E3768" w:rsidP="007E3768">
      <w:pPr>
        <w:spacing w:before="150" w:after="150" w:line="240" w:lineRule="auto"/>
        <w:jc w:val="both"/>
        <w:outlineLvl w:val="3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Что же изменилось?</w:t>
      </w:r>
    </w:p>
    <w:p w:rsidR="007E3768" w:rsidRPr="007E3768" w:rsidRDefault="007E3768" w:rsidP="007E3768">
      <w:pPr>
        <w:spacing w:before="300" w:after="30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Во-первых, с 2019 года диспансеризация и медосмотр объединены. Приказом N°124н, который вступает в силу </w:t>
      </w:r>
      <w:r w:rsidR="006D3E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06 мая 2019 года, оптимизировано регулирование профилактических медицинских мер в отношении населения. Им заменяются сразу два ранее действовавших приказа Минздрава РФ:</w:t>
      </w:r>
    </w:p>
    <w:p w:rsidR="007E3768" w:rsidRPr="007E3768" w:rsidRDefault="007E3768" w:rsidP="007E3768">
      <w:pPr>
        <w:numPr>
          <w:ilvl w:val="0"/>
          <w:numId w:val="2"/>
        </w:numPr>
        <w:spacing w:before="150" w:after="150" w:line="240" w:lineRule="auto"/>
        <w:ind w:left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«Об утверждении Порядка проведения профилактического медицинского осмотра» от 06.12.2012 N°1011н;</w:t>
      </w:r>
    </w:p>
    <w:p w:rsidR="007E3768" w:rsidRPr="007E3768" w:rsidRDefault="007E3768" w:rsidP="007E3768">
      <w:pPr>
        <w:numPr>
          <w:ilvl w:val="0"/>
          <w:numId w:val="2"/>
        </w:numPr>
        <w:spacing w:before="150" w:after="150" w:line="240" w:lineRule="auto"/>
        <w:ind w:left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«Об утверждении порядка проведения диспансеризации определённых групп взрослого населения» от 26.10.2017 N°869н.</w:t>
      </w:r>
    </w:p>
    <w:p w:rsidR="007E3768" w:rsidRDefault="007E3768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sz w:val="28"/>
          <w:szCs w:val="28"/>
          <w:lang w:eastAsia="ru-RU"/>
        </w:rPr>
      </w:pPr>
    </w:p>
    <w:p w:rsidR="006D3EFF" w:rsidRPr="007E3768" w:rsidRDefault="006D3EFF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sz w:val="28"/>
          <w:szCs w:val="28"/>
          <w:lang w:eastAsia="ru-RU"/>
        </w:rPr>
      </w:pPr>
    </w:p>
    <w:p w:rsidR="007E3768" w:rsidRDefault="007E3768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Когда и кем проводятся медосмотр и бесплатная диспансеризация с 2019 года?</w:t>
      </w:r>
    </w:p>
    <w:p w:rsidR="006D3EFF" w:rsidRPr="007E3768" w:rsidRDefault="006D3EFF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sz w:val="28"/>
          <w:szCs w:val="28"/>
          <w:lang w:eastAsia="ru-RU"/>
        </w:rPr>
      </w:pPr>
    </w:p>
    <w:p w:rsidR="007E3768" w:rsidRDefault="007E3768" w:rsidP="007E3768">
      <w:pPr>
        <w:spacing w:before="300" w:after="30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Ранее, было предусмотрено, что медосмотр проводится 1 раз в 2 года, а диспансеризацию проходили 1 раз в 3 года. Набор анализов и исследования различались (в год диспансеризации – больший объём).</w:t>
      </w:r>
    </w:p>
    <w:p w:rsidR="006D3EFF" w:rsidRPr="007E3768" w:rsidRDefault="006D3EFF" w:rsidP="007E3768">
      <w:pPr>
        <w:spacing w:before="300" w:after="30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E3768" w:rsidRDefault="007E3768" w:rsidP="007E3768">
      <w:pPr>
        <w:spacing w:before="300" w:after="300" w:line="240" w:lineRule="auto"/>
        <w:ind w:left="708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i/>
          <w:iCs/>
          <w:color w:val="FF0000"/>
          <w:sz w:val="36"/>
          <w:szCs w:val="36"/>
          <w:lang w:eastAsia="ru-RU"/>
        </w:rPr>
        <w:t>Важно!</w:t>
      </w:r>
      <w:r w:rsidRPr="007E376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Согласно приказу N°124н бесплатный профилактический медосмотр или диспансеризация граждан всех возрастов является ежегодными. Диспансеризация проводится ежегодно для граждан старше 40 лет и 1 раз в 3 года для граждан в возрасте от 18 до 39 лет.</w:t>
      </w:r>
    </w:p>
    <w:p w:rsidR="006D3EFF" w:rsidRPr="007E3768" w:rsidRDefault="006D3EFF" w:rsidP="007E3768">
      <w:pPr>
        <w:spacing w:before="300" w:after="300" w:line="240" w:lineRule="auto"/>
        <w:ind w:left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E3768" w:rsidRPr="007E3768" w:rsidRDefault="007E3768" w:rsidP="007E3768">
      <w:pPr>
        <w:spacing w:before="300" w:after="300" w:line="240" w:lineRule="auto"/>
        <w:ind w:left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i/>
          <w:iCs/>
          <w:color w:val="FF0000"/>
          <w:sz w:val="36"/>
          <w:szCs w:val="36"/>
          <w:lang w:eastAsia="ru-RU"/>
        </w:rPr>
        <w:t>Обратите внимание!</w:t>
      </w:r>
      <w:r w:rsidRPr="007E376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Гражданин проходит профилактический медосмотр и 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:rsidR="007E3768" w:rsidRDefault="007E3768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sz w:val="28"/>
          <w:szCs w:val="28"/>
          <w:lang w:eastAsia="ru-RU"/>
        </w:rPr>
        <w:t> </w:t>
      </w:r>
    </w:p>
    <w:p w:rsidR="006D3EFF" w:rsidRPr="007E3768" w:rsidRDefault="006D3EFF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sz w:val="28"/>
          <w:szCs w:val="28"/>
          <w:lang w:eastAsia="ru-RU"/>
        </w:rPr>
      </w:pPr>
    </w:p>
    <w:p w:rsidR="007E3768" w:rsidRDefault="007E3768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Что включает в себя бесплатная диспансеризация взрослого населения в 2019 году?</w:t>
      </w:r>
    </w:p>
    <w:p w:rsidR="006D3EFF" w:rsidRPr="007E3768" w:rsidRDefault="006D3EFF" w:rsidP="007E3768">
      <w:pPr>
        <w:spacing w:before="150" w:after="150" w:line="240" w:lineRule="auto"/>
        <w:jc w:val="both"/>
        <w:outlineLvl w:val="3"/>
        <w:rPr>
          <w:rFonts w:eastAsia="Times New Roman" w:cs="Times New Roman"/>
          <w:sz w:val="28"/>
          <w:szCs w:val="28"/>
          <w:lang w:eastAsia="ru-RU"/>
        </w:rPr>
      </w:pPr>
    </w:p>
    <w:p w:rsidR="007E3768" w:rsidRDefault="007E3768" w:rsidP="007E3768">
      <w:pPr>
        <w:spacing w:before="300" w:after="30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:rsidR="006D3EFF" w:rsidRPr="007E3768" w:rsidRDefault="006D3EFF" w:rsidP="007E3768">
      <w:pPr>
        <w:spacing w:before="300" w:after="30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E3768" w:rsidRPr="007E3768" w:rsidRDefault="007E3768" w:rsidP="007E3768">
      <w:pPr>
        <w:spacing w:before="300" w:after="30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lastRenderedPageBreak/>
        <w:t>Профилактический медосмотр</w:t>
      </w: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</w:t>
      </w:r>
      <w:r w:rsidR="000D1CB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ций для пациентов и включает в </w:t>
      </w: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себя:</w:t>
      </w:r>
    </w:p>
    <w:p w:rsidR="007E3768" w:rsidRPr="007E3768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Флюорографию или рентгенографию лёгких (1 раз в 2 года).</w:t>
      </w:r>
    </w:p>
    <w:p w:rsidR="007E3768" w:rsidRPr="007E3768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Опрос (анкетирование).</w:t>
      </w:r>
    </w:p>
    <w:p w:rsidR="007E3768" w:rsidRPr="007E3768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Расчёт на основании антропометрии индекса массы тела (измерение роста, веса, окружности талии).</w:t>
      </w:r>
    </w:p>
    <w:p w:rsidR="007E3768" w:rsidRPr="007E3768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Измерение артериального давления.</w:t>
      </w:r>
    </w:p>
    <w:p w:rsidR="007E3768" w:rsidRPr="007E3768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Анализ крови на общий холестерин.</w:t>
      </w:r>
    </w:p>
    <w:p w:rsidR="007E3768" w:rsidRPr="000D1CBD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Анализ крови на глюкозу.</w:t>
      </w:r>
    </w:p>
    <w:p w:rsidR="000D1CBD" w:rsidRPr="007E3768" w:rsidRDefault="000D1CBD" w:rsidP="000D1CBD">
      <w:pPr>
        <w:numPr>
          <w:ilvl w:val="0"/>
          <w:numId w:val="3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Общий а</w:t>
      </w: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нализ крови</w:t>
      </w:r>
      <w:r>
        <w:rPr>
          <w:rFonts w:eastAsia="Times New Roman" w:cs="Times New Roman"/>
          <w:color w:val="404040"/>
          <w:sz w:val="28"/>
          <w:szCs w:val="28"/>
          <w:lang w:eastAsia="ru-RU"/>
        </w:rPr>
        <w:t>.</w:t>
      </w:r>
    </w:p>
    <w:p w:rsidR="007E3768" w:rsidRPr="007E3768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Определение сердечно-сосудистого риска (относительного – с 18 до 39 лет включительно, абсолютного – с 40 до 64 лет включительно), рисков хронических болезней.</w:t>
      </w:r>
    </w:p>
    <w:p w:rsidR="007E3768" w:rsidRPr="007E3768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Измерение внутриглазного давления (при первом прохождении медосмотра, ежегодно – с 40 лет).</w:t>
      </w:r>
    </w:p>
    <w:p w:rsidR="007E3768" w:rsidRPr="007E3768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ЭКГ (при первом прохождении медосмотра, ежегодно – с 35 лет).</w:t>
      </w:r>
    </w:p>
    <w:p w:rsidR="007E3768" w:rsidRPr="007E3768" w:rsidRDefault="007E3768" w:rsidP="007E3768">
      <w:pPr>
        <w:numPr>
          <w:ilvl w:val="0"/>
          <w:numId w:val="3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404040"/>
          <w:sz w:val="28"/>
          <w:szCs w:val="28"/>
          <w:lang w:eastAsia="ru-RU"/>
        </w:rPr>
        <w:t>Осмотр фельдшером (акушеркой) или врачом – акушером-гинекологом женщин в возрасте 18-39 лет.</w:t>
      </w:r>
    </w:p>
    <w:p w:rsidR="007E3768" w:rsidRPr="007E3768" w:rsidRDefault="007E3768" w:rsidP="007E3768">
      <w:pPr>
        <w:spacing w:before="300" w:after="30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sz w:val="30"/>
          <w:szCs w:val="30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i/>
          <w:iCs/>
          <w:noProof/>
          <w:sz w:val="30"/>
          <w:szCs w:val="30"/>
          <w:lang w:eastAsia="ru-RU"/>
        </w:rPr>
        <w:lastRenderedPageBreak/>
        <w:drawing>
          <wp:inline distT="0" distB="0" distL="0" distR="0" wp14:anchorId="2483F622" wp14:editId="0A4EC97B">
            <wp:extent cx="10140039" cy="11374232"/>
            <wp:effectExtent l="0" t="0" r="0" b="0"/>
            <wp:docPr id="4" name="Рисунок 4" descr="http://gkb11.medgis.ru/uploads/userfiles/organization_102/News/2019-05-16_%D0%B4%D0%B8%D1%81%D0%BF%D0%B0%D0%BD%D1%81%D0%B5%D1%80%D0%B8%D0%B7%D0%B0%D1%86%D0%B8%D1%8F/kal_na_k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kb11.medgis.ru/uploads/userfiles/organization_102/News/2019-05-16_%D0%B4%D0%B8%D1%81%D0%BF%D0%B0%D0%BD%D1%81%D0%B5%D1%80%D0%B8%D0%B7%D0%B0%D1%86%D0%B8%D1%8F/kal_na_kr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738" cy="114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68" w:rsidRPr="007E3768" w:rsidRDefault="007E3768" w:rsidP="007E3768">
      <w:pPr>
        <w:spacing w:before="150" w:after="150" w:line="240" w:lineRule="auto"/>
        <w:outlineLvl w:val="3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lastRenderedPageBreak/>
        <w:t>Исследования на первом этапе диспансеризации взрослого населения</w:t>
      </w:r>
    </w:p>
    <w:p w:rsidR="007E3768" w:rsidRPr="007E3768" w:rsidRDefault="007E3768" w:rsidP="007E3768">
      <w:pPr>
        <w:spacing w:before="300" w:after="30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 xml:space="preserve">Диспансеризация </w:t>
      </w: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7E3768" w:rsidRPr="007E3768" w:rsidRDefault="007E3768" w:rsidP="007E3768">
      <w:pPr>
        <w:spacing w:before="300" w:after="30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:rsidR="007E3768" w:rsidRPr="007E3768" w:rsidRDefault="007E3768" w:rsidP="007E3768">
      <w:pPr>
        <w:numPr>
          <w:ilvl w:val="0"/>
          <w:numId w:val="4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общий анализ крови (гемоглобин, лейкоциты, СОЭ) – с 40 лет;</w:t>
      </w:r>
    </w:p>
    <w:p w:rsidR="007E3768" w:rsidRPr="007E3768" w:rsidRDefault="007E3768" w:rsidP="007E3768">
      <w:pPr>
        <w:numPr>
          <w:ilvl w:val="0"/>
          <w:numId w:val="4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осмотр фельдшером (акушеркой) или врачом акушером-гинекологом женщин в возрасте с 40 лет и старше.</w:t>
      </w:r>
    </w:p>
    <w:p w:rsidR="007E3768" w:rsidRPr="007E3768" w:rsidRDefault="007E3768" w:rsidP="007E3768">
      <w:pPr>
        <w:numPr>
          <w:ilvl w:val="0"/>
          <w:numId w:val="4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исследование кала на скрытую кровь (с 40 до 64 лет включительно – 1 раз в 2 года, с 65 до 75 лет включительно – ежегодно);</w:t>
      </w:r>
    </w:p>
    <w:p w:rsidR="007E3768" w:rsidRPr="007E3768" w:rsidRDefault="007E3768" w:rsidP="007E3768">
      <w:pPr>
        <w:numPr>
          <w:ilvl w:val="0"/>
          <w:numId w:val="4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эзофагофиброгастродуоденоскопия – в возрасте 45 лет;</w:t>
      </w:r>
    </w:p>
    <w:p w:rsidR="007E3768" w:rsidRPr="007E3768" w:rsidRDefault="007E3768" w:rsidP="007E3768">
      <w:pPr>
        <w:numPr>
          <w:ilvl w:val="0"/>
          <w:numId w:val="4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для женщин: цитологическое исследование мазка с шейки матки (с 18 до 64 лет включительно – 1 раз в 3 года),</w:t>
      </w:r>
    </w:p>
    <w:p w:rsidR="007E3768" w:rsidRPr="007E3768" w:rsidRDefault="007E3768" w:rsidP="007E3768">
      <w:pPr>
        <w:numPr>
          <w:ilvl w:val="0"/>
          <w:numId w:val="4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маммография (с 40 до 75 лет включительно – 1 раз в 2 года);</w:t>
      </w:r>
    </w:p>
    <w:p w:rsidR="007E3768" w:rsidRPr="007E3768" w:rsidRDefault="007E3768" w:rsidP="007E3768">
      <w:pPr>
        <w:numPr>
          <w:ilvl w:val="0"/>
          <w:numId w:val="4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для мужчин: определение простат-специфического антигена (ПСА) в крови (в 45, 50, 55, 60, 64 года).</w:t>
      </w:r>
    </w:p>
    <w:p w:rsidR="007E3768" w:rsidRPr="007E3768" w:rsidRDefault="007E3768" w:rsidP="007E3768">
      <w:pPr>
        <w:numPr>
          <w:ilvl w:val="0"/>
          <w:numId w:val="4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осмотр врачом-терапевтом по результатам первого этапа.</w:t>
      </w:r>
    </w:p>
    <w:p w:rsidR="007E3768" w:rsidRPr="007E3768" w:rsidRDefault="007E3768" w:rsidP="007E3768">
      <w:pPr>
        <w:spacing w:before="300" w:after="30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 </w:t>
      </w:r>
    </w:p>
    <w:p w:rsidR="007E3768" w:rsidRPr="007E3768" w:rsidRDefault="007E3768" w:rsidP="007E3768">
      <w:pPr>
        <w:spacing w:before="150" w:after="150" w:line="240" w:lineRule="auto"/>
        <w:outlineLvl w:val="3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Дополнительное обследование на втором этапе диспансеризации взрослых</w:t>
      </w:r>
    </w:p>
    <w:p w:rsidR="007E3768" w:rsidRPr="007E3768" w:rsidRDefault="007E3768" w:rsidP="007E3768">
      <w:pPr>
        <w:spacing w:before="300" w:after="30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:rsidR="007E3768" w:rsidRPr="007E3768" w:rsidRDefault="007E3768" w:rsidP="007E3768">
      <w:pPr>
        <w:numPr>
          <w:ilvl w:val="0"/>
          <w:numId w:val="5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консультации специалистов (невролога, оториноларинголога,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7E3768" w:rsidRPr="006D3EFF" w:rsidRDefault="007E3768" w:rsidP="007E3768">
      <w:pPr>
        <w:numPr>
          <w:ilvl w:val="0"/>
          <w:numId w:val="5"/>
        </w:num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дополнительные исследования (рентгенография лёгких или компьютерная томография легких, колоноскопия, эзофагофиброгастродуоденоскопия, ректороманоскопия, спирометрия, дуплексное сканирование брахиоцефальных артерий).</w:t>
      </w:r>
    </w:p>
    <w:p w:rsidR="006D3EFF" w:rsidRPr="007E3768" w:rsidRDefault="006D3EFF" w:rsidP="006D3EFF">
      <w:pPr>
        <w:spacing w:before="150" w:after="150" w:line="240" w:lineRule="auto"/>
        <w:ind w:left="6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E3768" w:rsidRDefault="007E3768" w:rsidP="007E3768">
      <w:pPr>
        <w:spacing w:before="300" w:after="30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E3768">
        <w:rPr>
          <w:rFonts w:ascii="&amp;quot" w:eastAsia="Times New Roman" w:hAnsi="&amp;quot" w:cs="Times New Roman"/>
          <w:b/>
          <w:bCs/>
          <w:i/>
          <w:iCs/>
          <w:color w:val="FF0000"/>
          <w:sz w:val="36"/>
          <w:szCs w:val="36"/>
          <w:lang w:eastAsia="ru-RU"/>
        </w:rPr>
        <w:t>Обратите внимание!</w:t>
      </w:r>
      <w:r w:rsidRPr="007E376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– по общему правилу, 2 дня ежегодно – для предпенсионеров и пенсионеров. Однако, Председателем Правительства РФ дано поручение подготовить внесение изменений: всем работающим гражданам старше 40 лет будет предоставляться </w:t>
      </w:r>
      <w:r w:rsidRPr="007E3768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один день</w:t>
      </w:r>
      <w:r w:rsidRPr="007E376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на диспансеризацию каждый год.</w:t>
      </w:r>
    </w:p>
    <w:p w:rsidR="00C65CE9" w:rsidRDefault="00C65CE9" w:rsidP="007E3768">
      <w:pPr>
        <w:spacing w:before="300" w:after="30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C65CE9" w:rsidRPr="00A9198C" w:rsidRDefault="00C65CE9" w:rsidP="00C65CE9">
      <w:pPr>
        <w:spacing w:before="300" w:after="300" w:line="240" w:lineRule="auto"/>
        <w:jc w:val="center"/>
        <w:rPr>
          <w:rFonts w:eastAsia="Times New Roman" w:cs="Times New Roman"/>
          <w:b/>
          <w:i/>
          <w:iCs/>
          <w:color w:val="000000"/>
          <w:sz w:val="96"/>
          <w:szCs w:val="96"/>
          <w:lang w:eastAsia="ru-RU"/>
          <w14:textOutline w14:w="1270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9198C">
        <w:rPr>
          <w:rFonts w:eastAsia="Times New Roman" w:cs="Times New Roman"/>
          <w:b/>
          <w:i/>
          <w:iCs/>
          <w:color w:val="000000"/>
          <w:sz w:val="96"/>
          <w:szCs w:val="96"/>
          <w:lang w:eastAsia="ru-RU"/>
          <w14:textOutline w14:w="1270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Будьте здоровы и бдительны !!!</w:t>
      </w:r>
    </w:p>
    <w:p w:rsidR="00C65CE9" w:rsidRDefault="00C65CE9" w:rsidP="006D3EFF">
      <w:pPr>
        <w:spacing w:before="300" w:after="300" w:line="240" w:lineRule="auto"/>
        <w:jc w:val="center"/>
        <w:rPr>
          <w:rFonts w:eastAsia="Times New Roman" w:cs="Times New Roman"/>
          <w:b/>
          <w:i/>
          <w:iCs/>
          <w:color w:val="000000"/>
          <w:sz w:val="96"/>
          <w:szCs w:val="96"/>
          <w:lang w:eastAsia="ru-RU"/>
          <w14:textOutline w14:w="1270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9198C">
        <w:rPr>
          <w:rFonts w:eastAsia="Times New Roman" w:cs="Times New Roman"/>
          <w:b/>
          <w:i/>
          <w:iCs/>
          <w:color w:val="000000"/>
          <w:sz w:val="96"/>
          <w:szCs w:val="96"/>
          <w:lang w:eastAsia="ru-RU"/>
          <w14:textOutline w14:w="1270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ЖДЁМ ВАС !!!</w:t>
      </w:r>
    </w:p>
    <w:p w:rsidR="006D3EFF" w:rsidRDefault="006D3EFF" w:rsidP="006D3EFF">
      <w:pPr>
        <w:spacing w:before="300" w:after="300" w:line="240" w:lineRule="auto"/>
        <w:jc w:val="center"/>
        <w:rPr>
          <w:rFonts w:eastAsia="Times New Roman" w:cs="Times New Roman"/>
          <w:b/>
          <w:i/>
          <w:iCs/>
          <w:color w:val="000000"/>
          <w:sz w:val="96"/>
          <w:szCs w:val="96"/>
          <w:lang w:eastAsia="ru-RU"/>
          <w14:textOutline w14:w="1270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6D3EFF" w:rsidRDefault="006D3EFF" w:rsidP="006D3EFF">
      <w:pPr>
        <w:spacing w:before="300" w:after="300" w:line="240" w:lineRule="auto"/>
        <w:jc w:val="center"/>
        <w:rPr>
          <w:rFonts w:eastAsia="Times New Roman" w:cs="Times New Roman"/>
          <w:b/>
          <w:i/>
          <w:iCs/>
          <w:color w:val="000000"/>
          <w:sz w:val="96"/>
          <w:szCs w:val="96"/>
          <w:lang w:eastAsia="ru-RU"/>
          <w14:textOutline w14:w="1270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6D3EFF" w:rsidRDefault="006D3EFF" w:rsidP="006D3EFF">
      <w:pPr>
        <w:spacing w:before="300" w:after="300" w:line="240" w:lineRule="auto"/>
        <w:jc w:val="center"/>
        <w:rPr>
          <w:rFonts w:eastAsia="Times New Roman" w:cs="Times New Roman"/>
          <w:b/>
          <w:i/>
          <w:iCs/>
          <w:color w:val="000000"/>
          <w:sz w:val="40"/>
          <w:szCs w:val="40"/>
          <w:lang w:eastAsia="ru-RU"/>
          <w14:textOutline w14:w="1270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6D3EFF" w:rsidSect="00A9198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8E6"/>
    <w:multiLevelType w:val="multilevel"/>
    <w:tmpl w:val="ABCC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A1737"/>
    <w:multiLevelType w:val="multilevel"/>
    <w:tmpl w:val="C02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00A6A"/>
    <w:multiLevelType w:val="multilevel"/>
    <w:tmpl w:val="897C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910A2"/>
    <w:multiLevelType w:val="multilevel"/>
    <w:tmpl w:val="776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E7733"/>
    <w:multiLevelType w:val="hybridMultilevel"/>
    <w:tmpl w:val="88407E80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788C52BF"/>
    <w:multiLevelType w:val="multilevel"/>
    <w:tmpl w:val="BB1A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29"/>
    <w:rsid w:val="000D1CBD"/>
    <w:rsid w:val="0012484E"/>
    <w:rsid w:val="00404413"/>
    <w:rsid w:val="004C67E7"/>
    <w:rsid w:val="005072E0"/>
    <w:rsid w:val="005F5E29"/>
    <w:rsid w:val="006D3EFF"/>
    <w:rsid w:val="007E3768"/>
    <w:rsid w:val="008E44F2"/>
    <w:rsid w:val="009A34BD"/>
    <w:rsid w:val="00A9198C"/>
    <w:rsid w:val="00B409AC"/>
    <w:rsid w:val="00C65CE9"/>
    <w:rsid w:val="00D145A0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510D-C893-4EF0-B033-96CDFDEA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96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1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48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21308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5262-CCC4-4419-8933-8625CFEE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Пеньков</dc:creator>
  <cp:lastModifiedBy>Белогорская ЦРБ</cp:lastModifiedBy>
  <cp:revision>3</cp:revision>
  <dcterms:created xsi:type="dcterms:W3CDTF">2019-07-03T11:38:00Z</dcterms:created>
  <dcterms:modified xsi:type="dcterms:W3CDTF">2019-07-03T12:01:00Z</dcterms:modified>
</cp:coreProperties>
</file>